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FEF" w:rsidRPr="009E54FA" w:rsidRDefault="00E63FEF" w:rsidP="00E63FEF">
      <w:pPr>
        <w:pStyle w:val="Heading2"/>
      </w:pPr>
      <w:bookmarkStart w:id="0" w:name="_Toc334981753"/>
      <w:bookmarkStart w:id="1" w:name="_Toc334981788"/>
      <w:bookmarkStart w:id="2" w:name="_Toc380006105"/>
      <w:r w:rsidRPr="009E54FA">
        <w:t>Payment and Settlement Systems Act, 2007</w:t>
      </w:r>
      <w:bookmarkEnd w:id="0"/>
      <w:bookmarkEnd w:id="1"/>
      <w:r>
        <w:rPr>
          <w:rStyle w:val="FootnoteReference"/>
        </w:rPr>
        <w:footnoteReference w:id="1"/>
      </w:r>
      <w:bookmarkEnd w:id="2"/>
      <w:r w:rsidRPr="009E54FA">
        <w:t xml:space="preserve"> </w:t>
      </w:r>
      <w:r>
        <w:t>(Sections Relevant To Privacy Regulation)</w:t>
      </w:r>
    </w:p>
    <w:p w:rsidR="00E63FEF" w:rsidRDefault="00E63FEF">
      <w:pPr>
        <w:rPr>
          <w:rStyle w:val="Strong"/>
          <w:rFonts w:ascii="Arial" w:hAnsi="Arial" w:cs="Arial"/>
          <w:color w:val="000000"/>
          <w:sz w:val="20"/>
          <w:szCs w:val="20"/>
        </w:rPr>
      </w:pPr>
    </w:p>
    <w:p w:rsidR="00507BBF" w:rsidRDefault="00E63FEF">
      <w:pPr>
        <w:rPr>
          <w:rFonts w:ascii="Arial" w:hAnsi="Arial" w:cs="Arial"/>
          <w:color w:val="000000"/>
          <w:sz w:val="20"/>
          <w:szCs w:val="20"/>
        </w:rPr>
      </w:pPr>
      <w:r>
        <w:rPr>
          <w:rStyle w:val="Strong"/>
          <w:rFonts w:ascii="Arial" w:hAnsi="Arial" w:cs="Arial"/>
          <w:color w:val="000000"/>
          <w:sz w:val="20"/>
          <w:szCs w:val="20"/>
        </w:rPr>
        <w:t>12. Power to call for returns, documents or other information -</w:t>
      </w:r>
      <w:r>
        <w:rPr>
          <w:rFonts w:ascii="Arial" w:hAnsi="Arial" w:cs="Arial"/>
          <w:color w:val="000000"/>
          <w:sz w:val="20"/>
          <w:szCs w:val="20"/>
        </w:rPr>
        <w:t>The Reserve Bank may call for from any system provider such returns or documents as it may require or other information in regard to the operation of his payment system at such intervals, in such form and in such manner, as the Reserve Bank may require from time to time or as may be prescribed and such order shall be complied with</w:t>
      </w:r>
    </w:p>
    <w:p w:rsidR="00E63FEF" w:rsidRDefault="00E63FEF">
      <w:pPr>
        <w:rPr>
          <w:rFonts w:ascii="Arial" w:hAnsi="Arial" w:cs="Arial"/>
          <w:color w:val="000000"/>
          <w:sz w:val="20"/>
          <w:szCs w:val="20"/>
        </w:rPr>
      </w:pPr>
      <w:proofErr w:type="gramStart"/>
      <w:r>
        <w:rPr>
          <w:rStyle w:val="Strong"/>
          <w:rFonts w:ascii="Arial" w:hAnsi="Arial" w:cs="Arial"/>
          <w:color w:val="000000"/>
          <w:sz w:val="20"/>
          <w:szCs w:val="20"/>
        </w:rPr>
        <w:t>13. Short title, extent and commencement.</w:t>
      </w:r>
      <w:proofErr w:type="gramEnd"/>
      <w:r>
        <w:rPr>
          <w:rStyle w:val="Strong"/>
          <w:rFonts w:ascii="Arial" w:hAnsi="Arial" w:cs="Arial"/>
          <w:color w:val="000000"/>
          <w:sz w:val="20"/>
          <w:szCs w:val="20"/>
        </w:rPr>
        <w:t xml:space="preserve"> -</w:t>
      </w:r>
      <w:r>
        <w:rPr>
          <w:rStyle w:val="apple-converted-space"/>
          <w:rFonts w:ascii="Arial" w:hAnsi="Arial" w:cs="Arial"/>
          <w:color w:val="000000"/>
          <w:sz w:val="20"/>
          <w:szCs w:val="20"/>
        </w:rPr>
        <w:t> </w:t>
      </w:r>
      <w:r>
        <w:rPr>
          <w:rFonts w:ascii="Arial" w:hAnsi="Arial" w:cs="Arial"/>
          <w:color w:val="000000"/>
          <w:sz w:val="20"/>
          <w:szCs w:val="20"/>
        </w:rPr>
        <w:t>The Reserve Bank shall have right to access any information relating to the operation of any payment system and system provider and all the system participants shall provide access to such information to the Reserve Bank.</w:t>
      </w:r>
    </w:p>
    <w:p w:rsidR="00E63FEF" w:rsidRDefault="00E63FEF">
      <w:pPr>
        <w:rPr>
          <w:rFonts w:ascii="Arial" w:hAnsi="Arial" w:cs="Arial"/>
          <w:color w:val="000000"/>
          <w:sz w:val="20"/>
          <w:szCs w:val="20"/>
        </w:rPr>
      </w:pPr>
      <w:r>
        <w:rPr>
          <w:rStyle w:val="Strong"/>
          <w:rFonts w:ascii="Arial" w:hAnsi="Arial" w:cs="Arial"/>
          <w:color w:val="000000"/>
          <w:sz w:val="20"/>
          <w:szCs w:val="20"/>
        </w:rPr>
        <w:t>14. Power to enter and inspect. -</w:t>
      </w:r>
      <w:r>
        <w:rPr>
          <w:rStyle w:val="apple-converted-space"/>
          <w:rFonts w:ascii="Arial" w:hAnsi="Arial" w:cs="Arial"/>
          <w:b/>
          <w:bCs/>
          <w:color w:val="000000"/>
          <w:sz w:val="20"/>
          <w:szCs w:val="20"/>
        </w:rPr>
        <w:t> </w:t>
      </w:r>
      <w:r>
        <w:rPr>
          <w:rFonts w:ascii="Arial" w:hAnsi="Arial" w:cs="Arial"/>
          <w:color w:val="000000"/>
          <w:sz w:val="20"/>
          <w:szCs w:val="20"/>
        </w:rPr>
        <w:t xml:space="preserve">Any officer of the Reserve Bank duly authorized by it in writing in this behalf, may for </w:t>
      </w:r>
      <w:proofErr w:type="spellStart"/>
      <w:r>
        <w:rPr>
          <w:rFonts w:ascii="Arial" w:hAnsi="Arial" w:cs="Arial"/>
          <w:color w:val="000000"/>
          <w:sz w:val="20"/>
          <w:szCs w:val="20"/>
        </w:rPr>
        <w:t>ensuing</w:t>
      </w:r>
      <w:proofErr w:type="spellEnd"/>
      <w:r>
        <w:rPr>
          <w:rFonts w:ascii="Arial" w:hAnsi="Arial" w:cs="Arial"/>
          <w:color w:val="000000"/>
          <w:sz w:val="20"/>
          <w:szCs w:val="20"/>
        </w:rPr>
        <w:t xml:space="preserve"> compliance with the provisions of this Act or any regulations, enter any premises where a payment system is being operated and may inspect any equipment, including any computer system or other documents situated at such premises and call upon any employee of such system provider or participant thereof or any other person working in such premises to furnish such information or documents as may be required by such officer.</w:t>
      </w:r>
    </w:p>
    <w:tbl>
      <w:tblPr>
        <w:tblW w:w="5000" w:type="pct"/>
        <w:tblCellSpacing w:w="0" w:type="dxa"/>
        <w:tblCellMar>
          <w:left w:w="0" w:type="dxa"/>
          <w:right w:w="0" w:type="dxa"/>
        </w:tblCellMar>
        <w:tblLook w:val="04A0"/>
      </w:tblPr>
      <w:tblGrid>
        <w:gridCol w:w="9360"/>
      </w:tblGrid>
      <w:tr w:rsidR="00E63FEF" w:rsidRPr="00E63FEF" w:rsidTr="00E63FEF">
        <w:trPr>
          <w:tblCellSpacing w:w="0" w:type="dxa"/>
        </w:trPr>
        <w:tc>
          <w:tcPr>
            <w:tcW w:w="0" w:type="auto"/>
            <w:vAlign w:val="center"/>
            <w:hideMark/>
          </w:tcPr>
          <w:p w:rsidR="00E63FEF" w:rsidRPr="00E63FEF" w:rsidRDefault="00E63FEF" w:rsidP="00E63FEF">
            <w:pPr>
              <w:spacing w:before="100" w:beforeAutospacing="1" w:after="100" w:afterAutospacing="1" w:line="240" w:lineRule="auto"/>
              <w:jc w:val="both"/>
              <w:rPr>
                <w:rFonts w:ascii="Arial" w:eastAsia="Times New Roman" w:hAnsi="Arial" w:cs="Arial"/>
                <w:color w:val="000000"/>
                <w:sz w:val="20"/>
                <w:szCs w:val="20"/>
              </w:rPr>
            </w:pPr>
            <w:r w:rsidRPr="00E63FEF">
              <w:rPr>
                <w:rFonts w:ascii="Arial" w:eastAsia="Times New Roman" w:hAnsi="Arial" w:cs="Arial"/>
                <w:b/>
                <w:bCs/>
                <w:color w:val="000000"/>
                <w:sz w:val="20"/>
              </w:rPr>
              <w:t>15. Information, etc., to be confidential. -</w:t>
            </w:r>
            <w:r w:rsidRPr="00E63FEF">
              <w:rPr>
                <w:rFonts w:ascii="Arial" w:eastAsia="Times New Roman" w:hAnsi="Arial" w:cs="Arial"/>
                <w:color w:val="000000"/>
                <w:sz w:val="20"/>
              </w:rPr>
              <w:t> </w:t>
            </w:r>
            <w:r w:rsidRPr="00E63FEF">
              <w:rPr>
                <w:rFonts w:ascii="Arial" w:eastAsia="Times New Roman" w:hAnsi="Arial" w:cs="Arial"/>
                <w:color w:val="000000"/>
                <w:sz w:val="20"/>
                <w:szCs w:val="20"/>
              </w:rPr>
              <w:t>(1) Subject to the provisions of sub-section (2), any document or information obtained by the Reserve Bank under sections 12 to 14 (both inclusive) shall be kept confidential.</w:t>
            </w:r>
          </w:p>
          <w:p w:rsidR="00E63FEF" w:rsidRDefault="00E63FEF" w:rsidP="00E63FEF">
            <w:pPr>
              <w:spacing w:before="100" w:beforeAutospacing="1" w:after="100" w:afterAutospacing="1" w:line="240" w:lineRule="auto"/>
              <w:jc w:val="both"/>
              <w:rPr>
                <w:rFonts w:ascii="Arial" w:eastAsia="Times New Roman" w:hAnsi="Arial" w:cs="Arial"/>
                <w:color w:val="000000"/>
                <w:sz w:val="20"/>
              </w:rPr>
            </w:pPr>
            <w:r w:rsidRPr="00E63FEF">
              <w:rPr>
                <w:rFonts w:ascii="Arial" w:eastAsia="Times New Roman" w:hAnsi="Arial" w:cs="Arial"/>
                <w:color w:val="000000"/>
                <w:sz w:val="20"/>
                <w:szCs w:val="20"/>
              </w:rPr>
              <w:t>(2) Notwithstanding anything contained in sub-section (1), the Reserve Bank may disclose any document or information obtained by it under sections 12 to 14 (both inclusive) to any person to whom the disclosure of such document or information is considered necessary for protecting the integrity, effectiveness or security of the payment system, or in the interest of banking or monetary policy or the operation of the payment systems generally or in the public interest.</w:t>
            </w:r>
            <w:r w:rsidRPr="00E63FEF">
              <w:rPr>
                <w:rFonts w:ascii="Arial" w:eastAsia="Times New Roman" w:hAnsi="Arial" w:cs="Arial"/>
                <w:color w:val="000000"/>
                <w:sz w:val="20"/>
              </w:rPr>
              <w:t> </w:t>
            </w:r>
          </w:p>
          <w:tbl>
            <w:tblPr>
              <w:tblW w:w="5000" w:type="pct"/>
              <w:tblCellSpacing w:w="0" w:type="dxa"/>
              <w:tblCellMar>
                <w:left w:w="0" w:type="dxa"/>
                <w:right w:w="0" w:type="dxa"/>
              </w:tblCellMar>
              <w:tblLook w:val="04A0"/>
            </w:tblPr>
            <w:tblGrid>
              <w:gridCol w:w="9360"/>
            </w:tblGrid>
            <w:tr w:rsidR="00E63FEF" w:rsidRPr="00E63FEF" w:rsidTr="00E63FEF">
              <w:trPr>
                <w:tblCellSpacing w:w="0" w:type="dxa"/>
              </w:trPr>
              <w:tc>
                <w:tcPr>
                  <w:tcW w:w="0" w:type="auto"/>
                  <w:vAlign w:val="center"/>
                  <w:hideMark/>
                </w:tcPr>
                <w:p w:rsidR="00E63FEF" w:rsidRPr="00E63FEF" w:rsidRDefault="00E63FEF" w:rsidP="00E63FEF">
                  <w:pPr>
                    <w:spacing w:before="100" w:beforeAutospacing="1" w:after="100" w:afterAutospacing="1" w:line="240" w:lineRule="auto"/>
                    <w:jc w:val="both"/>
                    <w:rPr>
                      <w:rFonts w:ascii="Arial" w:eastAsia="Times New Roman" w:hAnsi="Arial" w:cs="Arial"/>
                      <w:color w:val="000000"/>
                      <w:sz w:val="20"/>
                      <w:szCs w:val="20"/>
                    </w:rPr>
                  </w:pPr>
                  <w:r w:rsidRPr="00E63FEF">
                    <w:rPr>
                      <w:rFonts w:ascii="Arial" w:eastAsia="Times New Roman" w:hAnsi="Arial" w:cs="Arial"/>
                      <w:b/>
                      <w:bCs/>
                      <w:color w:val="000000"/>
                      <w:sz w:val="20"/>
                    </w:rPr>
                    <w:t>16. Power to carry out audit and inspection. - </w:t>
                  </w:r>
                  <w:r w:rsidRPr="00E63FEF">
                    <w:rPr>
                      <w:rFonts w:ascii="Arial" w:eastAsia="Times New Roman" w:hAnsi="Arial" w:cs="Arial"/>
                      <w:color w:val="000000"/>
                      <w:sz w:val="20"/>
                      <w:szCs w:val="20"/>
                    </w:rPr>
                    <w:t>The Reserve Bank may, for the purpose of carrying out its functions under this Act, conduct or get conducted audits and inspections of a payment system or participants thereof and it shall be the duty of the system provider and the system participants to assist the Reserve Bank to carry out such audit or inspection, as the case may be.</w:t>
                  </w:r>
                </w:p>
              </w:tc>
            </w:tr>
            <w:tr w:rsidR="00E63FEF" w:rsidRPr="00E63FEF" w:rsidTr="00E63FEF">
              <w:trPr>
                <w:tblCellSpacing w:w="0" w:type="dxa"/>
              </w:trPr>
              <w:tc>
                <w:tcPr>
                  <w:tcW w:w="0" w:type="auto"/>
                  <w:vAlign w:val="center"/>
                  <w:hideMark/>
                </w:tcPr>
                <w:p w:rsidR="00E63FEF" w:rsidRPr="00E63FEF" w:rsidRDefault="00E63FEF" w:rsidP="00E63FEF">
                  <w:pPr>
                    <w:spacing w:before="100" w:beforeAutospacing="1" w:after="100" w:afterAutospacing="1" w:line="240" w:lineRule="auto"/>
                    <w:jc w:val="both"/>
                    <w:rPr>
                      <w:rFonts w:ascii="Arial" w:eastAsia="Times New Roman" w:hAnsi="Arial" w:cs="Arial"/>
                      <w:color w:val="000000"/>
                      <w:sz w:val="20"/>
                      <w:szCs w:val="20"/>
                    </w:rPr>
                  </w:pPr>
                  <w:r w:rsidRPr="00E63FEF">
                    <w:rPr>
                      <w:rFonts w:ascii="Arial" w:eastAsia="Times New Roman" w:hAnsi="Arial" w:cs="Arial"/>
                      <w:color w:val="000000"/>
                      <w:sz w:val="20"/>
                      <w:szCs w:val="20"/>
                    </w:rPr>
                    <w:t> </w:t>
                  </w:r>
                </w:p>
              </w:tc>
            </w:tr>
          </w:tbl>
          <w:p w:rsidR="00E63FEF" w:rsidRPr="00E63FEF" w:rsidRDefault="00E63FEF" w:rsidP="00E63FEF">
            <w:pPr>
              <w:spacing w:before="100" w:beforeAutospacing="1" w:after="100" w:afterAutospacing="1" w:line="240" w:lineRule="auto"/>
              <w:jc w:val="both"/>
              <w:rPr>
                <w:rFonts w:ascii="Arial" w:eastAsia="Times New Roman" w:hAnsi="Arial" w:cs="Arial"/>
                <w:color w:val="000000"/>
                <w:sz w:val="20"/>
                <w:szCs w:val="20"/>
              </w:rPr>
            </w:pPr>
          </w:p>
        </w:tc>
      </w:tr>
      <w:tr w:rsidR="00E63FEF" w:rsidRPr="00E63FEF" w:rsidTr="00E63FEF">
        <w:trPr>
          <w:tblCellSpacing w:w="0" w:type="dxa"/>
        </w:trPr>
        <w:tc>
          <w:tcPr>
            <w:tcW w:w="0" w:type="auto"/>
            <w:vAlign w:val="center"/>
            <w:hideMark/>
          </w:tcPr>
          <w:p w:rsidR="00E63FEF" w:rsidRPr="00E63FEF" w:rsidRDefault="00E63FEF" w:rsidP="00E63FEF">
            <w:pPr>
              <w:spacing w:before="100" w:beforeAutospacing="1" w:after="100" w:afterAutospacing="1" w:line="240" w:lineRule="auto"/>
              <w:jc w:val="both"/>
              <w:rPr>
                <w:rFonts w:ascii="Arial" w:eastAsia="Times New Roman" w:hAnsi="Arial" w:cs="Arial"/>
                <w:color w:val="000000"/>
                <w:sz w:val="20"/>
                <w:szCs w:val="20"/>
              </w:rPr>
            </w:pPr>
            <w:r w:rsidRPr="00E63FEF">
              <w:rPr>
                <w:rFonts w:ascii="Arial" w:eastAsia="Times New Roman" w:hAnsi="Arial" w:cs="Arial"/>
                <w:color w:val="000000"/>
                <w:sz w:val="20"/>
                <w:szCs w:val="20"/>
              </w:rPr>
              <w:t> </w:t>
            </w:r>
          </w:p>
        </w:tc>
      </w:tr>
    </w:tbl>
    <w:p w:rsidR="00E63FEF" w:rsidRDefault="00E63FEF" w:rsidP="00E63FEF">
      <w:pPr>
        <w:pStyle w:val="NormalWeb"/>
        <w:jc w:val="both"/>
        <w:rPr>
          <w:rFonts w:ascii="Arial" w:hAnsi="Arial" w:cs="Arial"/>
          <w:color w:val="000000"/>
          <w:sz w:val="20"/>
          <w:szCs w:val="20"/>
        </w:rPr>
      </w:pPr>
      <w:r>
        <w:rPr>
          <w:rStyle w:val="Strong"/>
          <w:rFonts w:ascii="Arial" w:hAnsi="Arial" w:cs="Arial"/>
          <w:color w:val="000000"/>
          <w:sz w:val="20"/>
          <w:szCs w:val="20"/>
        </w:rPr>
        <w:t>21. Duties of a system provider. -</w:t>
      </w:r>
      <w:r>
        <w:rPr>
          <w:rStyle w:val="apple-converted-space"/>
          <w:rFonts w:ascii="Arial" w:hAnsi="Arial" w:cs="Arial"/>
          <w:color w:val="000000"/>
          <w:sz w:val="20"/>
          <w:szCs w:val="20"/>
        </w:rPr>
        <w:t> </w:t>
      </w:r>
      <w:r>
        <w:rPr>
          <w:rFonts w:ascii="Arial" w:hAnsi="Arial" w:cs="Arial"/>
          <w:color w:val="000000"/>
          <w:sz w:val="20"/>
          <w:szCs w:val="20"/>
        </w:rPr>
        <w:t>(1) Every system provider shall disclose to the existing or potential system participants, the terms and conditions including the charges and the limitations of liability under the payment system, supply them with copies of the rules and regulations governing the operation of the payment system, netting arrangements and other relevant documents.</w:t>
      </w:r>
    </w:p>
    <w:p w:rsidR="00E63FEF" w:rsidRDefault="00E63FEF" w:rsidP="00E63FEF">
      <w:pPr>
        <w:pStyle w:val="NormalWeb"/>
        <w:jc w:val="both"/>
        <w:rPr>
          <w:rFonts w:ascii="Arial" w:hAnsi="Arial" w:cs="Arial"/>
          <w:color w:val="000000"/>
          <w:sz w:val="20"/>
          <w:szCs w:val="20"/>
        </w:rPr>
      </w:pPr>
      <w:r>
        <w:rPr>
          <w:rFonts w:ascii="Arial" w:hAnsi="Arial" w:cs="Arial"/>
          <w:color w:val="000000"/>
          <w:sz w:val="20"/>
          <w:szCs w:val="20"/>
        </w:rPr>
        <w:t>(2) It shall be the duty of every system provider to maintain the standards determined under this Act.</w:t>
      </w:r>
    </w:p>
    <w:p w:rsidR="00E63FEF" w:rsidRDefault="00E63FEF" w:rsidP="00E63FEF">
      <w:pPr>
        <w:pStyle w:val="NormalWeb"/>
        <w:jc w:val="both"/>
        <w:rPr>
          <w:rFonts w:ascii="Arial" w:hAnsi="Arial" w:cs="Arial"/>
          <w:color w:val="000000"/>
          <w:sz w:val="20"/>
          <w:szCs w:val="20"/>
        </w:rPr>
      </w:pPr>
      <w:r>
        <w:rPr>
          <w:rStyle w:val="Strong"/>
          <w:rFonts w:ascii="Arial" w:hAnsi="Arial" w:cs="Arial"/>
          <w:color w:val="000000"/>
          <w:sz w:val="20"/>
          <w:szCs w:val="20"/>
        </w:rPr>
        <w:t>22. Duty to keep documents in the payment system confidential. -</w:t>
      </w:r>
      <w:r>
        <w:rPr>
          <w:rStyle w:val="apple-converted-space"/>
          <w:rFonts w:ascii="Arial" w:hAnsi="Arial" w:cs="Arial"/>
          <w:color w:val="000000"/>
          <w:sz w:val="20"/>
          <w:szCs w:val="20"/>
        </w:rPr>
        <w:t> </w:t>
      </w:r>
      <w:r>
        <w:rPr>
          <w:rFonts w:ascii="Arial" w:hAnsi="Arial" w:cs="Arial"/>
          <w:color w:val="000000"/>
          <w:sz w:val="20"/>
          <w:szCs w:val="20"/>
        </w:rPr>
        <w:t xml:space="preserve">(1) A system provider shall not disclose to any other person the existence or contents of any document or part thereof or other information given to him by a system participant, except where such disclosure is required under the provisions of this Act or the disclosure is made with the express or implied consent of the system </w:t>
      </w:r>
      <w:r>
        <w:rPr>
          <w:rFonts w:ascii="Arial" w:hAnsi="Arial" w:cs="Arial"/>
          <w:color w:val="000000"/>
          <w:sz w:val="20"/>
          <w:szCs w:val="20"/>
        </w:rPr>
        <w:lastRenderedPageBreak/>
        <w:t>participant concerned or where such disclosure is in obedience to the orders passed by a court of competent jurisdiction or a statutory authority in exercise of the powers conferred by a statute.</w:t>
      </w:r>
    </w:p>
    <w:p w:rsidR="00E63FEF" w:rsidRDefault="00E63FEF" w:rsidP="00E63FEF">
      <w:pPr>
        <w:pStyle w:val="NormalWeb"/>
        <w:jc w:val="both"/>
        <w:rPr>
          <w:rFonts w:ascii="Arial" w:hAnsi="Arial" w:cs="Arial"/>
          <w:color w:val="000000"/>
          <w:sz w:val="20"/>
          <w:szCs w:val="20"/>
        </w:rPr>
      </w:pPr>
      <w:r>
        <w:rPr>
          <w:rFonts w:ascii="Arial" w:hAnsi="Arial" w:cs="Arial"/>
          <w:color w:val="000000"/>
          <w:sz w:val="20"/>
          <w:szCs w:val="20"/>
        </w:rPr>
        <w:t>(2) The provisions of the Bankers' Book Evidence Act, 1891 shall apply in relation to the information or documents or other books in whatever form maintained by the system provider.</w:t>
      </w:r>
    </w:p>
    <w:p w:rsidR="00E63FEF" w:rsidRDefault="00E63FEF">
      <w:pPr>
        <w:rPr>
          <w:rStyle w:val="Strong"/>
          <w:rFonts w:ascii="Arial" w:hAnsi="Arial" w:cs="Arial"/>
          <w:color w:val="000000"/>
          <w:sz w:val="20"/>
          <w:szCs w:val="20"/>
        </w:rPr>
      </w:pPr>
    </w:p>
    <w:p w:rsidR="00E63FEF" w:rsidRDefault="00E63FEF">
      <w:pPr>
        <w:rPr>
          <w:rStyle w:val="Strong"/>
          <w:rFonts w:ascii="Arial" w:hAnsi="Arial" w:cs="Arial"/>
          <w:color w:val="000000"/>
          <w:sz w:val="20"/>
          <w:szCs w:val="20"/>
        </w:rPr>
      </w:pPr>
    </w:p>
    <w:p w:rsidR="00E63FEF" w:rsidRDefault="00E63FEF">
      <w:pPr>
        <w:rPr>
          <w:rStyle w:val="Strong"/>
          <w:rFonts w:ascii="Arial" w:hAnsi="Arial" w:cs="Arial"/>
          <w:color w:val="000000"/>
          <w:sz w:val="20"/>
          <w:szCs w:val="20"/>
        </w:rPr>
      </w:pPr>
      <w:r>
        <w:rPr>
          <w:rStyle w:val="Strong"/>
          <w:rFonts w:ascii="Arial" w:hAnsi="Arial" w:cs="Arial"/>
          <w:color w:val="000000"/>
          <w:sz w:val="20"/>
          <w:szCs w:val="20"/>
        </w:rPr>
        <w:t>26. Penalties</w:t>
      </w:r>
    </w:p>
    <w:p w:rsidR="00E63FEF" w:rsidRDefault="00E63FEF" w:rsidP="00E63FEF">
      <w:pPr>
        <w:pStyle w:val="NormalWeb"/>
        <w:jc w:val="both"/>
        <w:rPr>
          <w:rFonts w:ascii="Arial" w:hAnsi="Arial" w:cs="Arial"/>
          <w:color w:val="000000"/>
          <w:sz w:val="20"/>
          <w:szCs w:val="20"/>
        </w:rPr>
      </w:pPr>
      <w:r>
        <w:rPr>
          <w:rFonts w:ascii="Arial" w:hAnsi="Arial" w:cs="Arial"/>
          <w:color w:val="000000"/>
          <w:sz w:val="20"/>
          <w:szCs w:val="20"/>
        </w:rPr>
        <w:t xml:space="preserve">(3) If any person fails to produce any statement, information, returns or other documents, or to furnish any statement, information, returns or other documents, which under section 12 or under section 13, it is his duty to furnish or to answer any question relating to the operation of a payment system which is required by an officer making inspection under section 14, he shall be punishable with fine which may extend to ten </w:t>
      </w:r>
      <w:proofErr w:type="spellStart"/>
      <w:r>
        <w:rPr>
          <w:rFonts w:ascii="Arial" w:hAnsi="Arial" w:cs="Arial"/>
          <w:color w:val="000000"/>
          <w:sz w:val="20"/>
          <w:szCs w:val="20"/>
        </w:rPr>
        <w:t>lakh</w:t>
      </w:r>
      <w:proofErr w:type="spellEnd"/>
      <w:r>
        <w:rPr>
          <w:rFonts w:ascii="Arial" w:hAnsi="Arial" w:cs="Arial"/>
          <w:color w:val="000000"/>
          <w:sz w:val="20"/>
          <w:szCs w:val="20"/>
        </w:rPr>
        <w:t xml:space="preserve"> rupees in respect of each offence and if he persists in such refusal, to a further fine which may extend to twenty-five thousand rupees for every day for which the offence continues.</w:t>
      </w:r>
    </w:p>
    <w:p w:rsidR="00E63FEF" w:rsidRDefault="00E63FEF" w:rsidP="00E63FEF">
      <w:pPr>
        <w:pStyle w:val="NormalWeb"/>
        <w:jc w:val="both"/>
        <w:rPr>
          <w:rFonts w:ascii="Arial" w:hAnsi="Arial" w:cs="Arial"/>
          <w:color w:val="000000"/>
          <w:sz w:val="20"/>
          <w:szCs w:val="20"/>
        </w:rPr>
      </w:pPr>
      <w:r>
        <w:rPr>
          <w:rFonts w:ascii="Arial" w:hAnsi="Arial" w:cs="Arial"/>
          <w:color w:val="000000"/>
          <w:sz w:val="20"/>
          <w:szCs w:val="20"/>
        </w:rPr>
        <w:t xml:space="preserve">(4) If any person discloses any information, the disclosure of which is prohibited under section 22, he shall be punishable with imprisonment for a term which may extend to six months, or with fine which may extend to five </w:t>
      </w:r>
      <w:proofErr w:type="spellStart"/>
      <w:r>
        <w:rPr>
          <w:rFonts w:ascii="Arial" w:hAnsi="Arial" w:cs="Arial"/>
          <w:color w:val="000000"/>
          <w:sz w:val="20"/>
          <w:szCs w:val="20"/>
        </w:rPr>
        <w:t>lakh</w:t>
      </w:r>
      <w:proofErr w:type="spellEnd"/>
      <w:r>
        <w:rPr>
          <w:rFonts w:ascii="Arial" w:hAnsi="Arial" w:cs="Arial"/>
          <w:color w:val="000000"/>
          <w:sz w:val="20"/>
          <w:szCs w:val="20"/>
        </w:rPr>
        <w:t xml:space="preserve"> rupees or an amount equal to twice the amount of the damages incurred by the act of such disclosure, whichever is higher or with both.</w:t>
      </w:r>
    </w:p>
    <w:p w:rsidR="00E63FEF" w:rsidRDefault="00E63FEF"/>
    <w:sectPr w:rsidR="00E63FEF" w:rsidSect="00507BB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61D9" w:rsidRDefault="00C361D9" w:rsidP="00E63FEF">
      <w:pPr>
        <w:spacing w:after="0" w:line="240" w:lineRule="auto"/>
      </w:pPr>
      <w:r>
        <w:separator/>
      </w:r>
    </w:p>
  </w:endnote>
  <w:endnote w:type="continuationSeparator" w:id="0">
    <w:p w:rsidR="00C361D9" w:rsidRDefault="00C361D9" w:rsidP="00E63F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61D9" w:rsidRDefault="00C361D9" w:rsidP="00E63FEF">
      <w:pPr>
        <w:spacing w:after="0" w:line="240" w:lineRule="auto"/>
      </w:pPr>
      <w:r>
        <w:separator/>
      </w:r>
    </w:p>
  </w:footnote>
  <w:footnote w:type="continuationSeparator" w:id="0">
    <w:p w:rsidR="00C361D9" w:rsidRDefault="00C361D9" w:rsidP="00E63FEF">
      <w:pPr>
        <w:spacing w:after="0" w:line="240" w:lineRule="auto"/>
      </w:pPr>
      <w:r>
        <w:continuationSeparator/>
      </w:r>
    </w:p>
  </w:footnote>
  <w:footnote w:id="1">
    <w:p w:rsidR="00E63FEF" w:rsidRDefault="00E63FEF" w:rsidP="00E63FEF">
      <w:pPr>
        <w:pStyle w:val="FootnoteText"/>
      </w:pPr>
      <w:r>
        <w:rPr>
          <w:rStyle w:val="FootnoteReference"/>
        </w:rPr>
        <w:footnoteRef/>
      </w:r>
      <w:r>
        <w:t xml:space="preserve"> Payment and Settlement Systems Act 2007. Available at: </w:t>
      </w:r>
      <w:r w:rsidRPr="00067633">
        <w:t>http://www.lawzonline.com/bareacts/payment-settlement-systems-act/payment-and-settlement-systems-act.html</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63FEF"/>
    <w:rsid w:val="00507BBF"/>
    <w:rsid w:val="00C361D9"/>
    <w:rsid w:val="00E63F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BBF"/>
  </w:style>
  <w:style w:type="paragraph" w:styleId="Heading2">
    <w:name w:val="heading 2"/>
    <w:basedOn w:val="Normal"/>
    <w:next w:val="BodyText"/>
    <w:link w:val="Heading2Char"/>
    <w:autoRedefine/>
    <w:qFormat/>
    <w:rsid w:val="00E63FEF"/>
    <w:pPr>
      <w:keepNext/>
      <w:widowControl w:val="0"/>
      <w:suppressAutoHyphens/>
      <w:spacing w:before="240" w:after="120" w:line="240" w:lineRule="auto"/>
      <w:contextualSpacing/>
      <w:jc w:val="both"/>
      <w:outlineLvl w:val="1"/>
    </w:pPr>
    <w:rPr>
      <w:rFonts w:ascii="Arial" w:eastAsia="Microsoft YaHei" w:hAnsi="Arial" w:cs="Mangal"/>
      <w:b/>
      <w:bCs/>
      <w:iCs/>
      <w:kern w:val="30"/>
      <w:sz w:val="26"/>
      <w:szCs w:val="28"/>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63FEF"/>
    <w:rPr>
      <w:b/>
      <w:bCs/>
    </w:rPr>
  </w:style>
  <w:style w:type="character" w:customStyle="1" w:styleId="apple-converted-space">
    <w:name w:val="apple-converted-space"/>
    <w:basedOn w:val="DefaultParagraphFont"/>
    <w:rsid w:val="00E63FEF"/>
  </w:style>
  <w:style w:type="paragraph" w:styleId="NormalWeb">
    <w:name w:val="Normal (Web)"/>
    <w:basedOn w:val="Normal"/>
    <w:uiPriority w:val="99"/>
    <w:unhideWhenUsed/>
    <w:rsid w:val="00E63F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E63FEF"/>
    <w:rPr>
      <w:rFonts w:ascii="Arial" w:eastAsia="Microsoft YaHei" w:hAnsi="Arial" w:cs="Mangal"/>
      <w:b/>
      <w:bCs/>
      <w:iCs/>
      <w:kern w:val="30"/>
      <w:sz w:val="26"/>
      <w:szCs w:val="28"/>
      <w:lang w:eastAsia="hi-IN" w:bidi="hi-IN"/>
    </w:rPr>
  </w:style>
  <w:style w:type="character" w:styleId="FootnoteReference">
    <w:name w:val="footnote reference"/>
    <w:uiPriority w:val="99"/>
    <w:rsid w:val="00E63FEF"/>
    <w:rPr>
      <w:vertAlign w:val="superscript"/>
    </w:rPr>
  </w:style>
  <w:style w:type="paragraph" w:styleId="FootnoteText">
    <w:name w:val="footnote text"/>
    <w:basedOn w:val="Normal"/>
    <w:link w:val="FootnoteTextChar"/>
    <w:rsid w:val="00E63FEF"/>
    <w:pPr>
      <w:widowControl w:val="0"/>
      <w:suppressAutoHyphens/>
      <w:spacing w:after="0" w:line="240" w:lineRule="auto"/>
      <w:contextualSpacing/>
    </w:pPr>
    <w:rPr>
      <w:rFonts w:ascii="Arial" w:eastAsia="SimSun" w:hAnsi="Arial" w:cs="Mangal"/>
      <w:kern w:val="1"/>
      <w:sz w:val="20"/>
      <w:szCs w:val="18"/>
      <w:lang w:eastAsia="hi-IN" w:bidi="hi-IN"/>
    </w:rPr>
  </w:style>
  <w:style w:type="character" w:customStyle="1" w:styleId="FootnoteTextChar">
    <w:name w:val="Footnote Text Char"/>
    <w:basedOn w:val="DefaultParagraphFont"/>
    <w:link w:val="FootnoteText"/>
    <w:rsid w:val="00E63FEF"/>
    <w:rPr>
      <w:rFonts w:ascii="Arial" w:eastAsia="SimSun" w:hAnsi="Arial" w:cs="Mangal"/>
      <w:kern w:val="1"/>
      <w:sz w:val="20"/>
      <w:szCs w:val="18"/>
      <w:lang w:eastAsia="hi-IN" w:bidi="hi-IN"/>
    </w:rPr>
  </w:style>
  <w:style w:type="paragraph" w:styleId="BodyText">
    <w:name w:val="Body Text"/>
    <w:basedOn w:val="Normal"/>
    <w:link w:val="BodyTextChar"/>
    <w:uiPriority w:val="99"/>
    <w:semiHidden/>
    <w:unhideWhenUsed/>
    <w:rsid w:val="00E63FEF"/>
    <w:pPr>
      <w:spacing w:after="120"/>
    </w:pPr>
  </w:style>
  <w:style w:type="character" w:customStyle="1" w:styleId="BodyTextChar">
    <w:name w:val="Body Text Char"/>
    <w:basedOn w:val="DefaultParagraphFont"/>
    <w:link w:val="BodyText"/>
    <w:uiPriority w:val="99"/>
    <w:semiHidden/>
    <w:rsid w:val="00E63FEF"/>
  </w:style>
</w:styles>
</file>

<file path=word/webSettings.xml><?xml version="1.0" encoding="utf-8"?>
<w:webSettings xmlns:r="http://schemas.openxmlformats.org/officeDocument/2006/relationships" xmlns:w="http://schemas.openxmlformats.org/wordprocessingml/2006/main">
  <w:divs>
    <w:div w:id="94641163">
      <w:bodyDiv w:val="1"/>
      <w:marLeft w:val="0"/>
      <w:marRight w:val="0"/>
      <w:marTop w:val="0"/>
      <w:marBottom w:val="0"/>
      <w:divBdr>
        <w:top w:val="none" w:sz="0" w:space="0" w:color="auto"/>
        <w:left w:val="none" w:sz="0" w:space="0" w:color="auto"/>
        <w:bottom w:val="none" w:sz="0" w:space="0" w:color="auto"/>
        <w:right w:val="none" w:sz="0" w:space="0" w:color="auto"/>
      </w:divBdr>
    </w:div>
    <w:div w:id="448084358">
      <w:bodyDiv w:val="1"/>
      <w:marLeft w:val="0"/>
      <w:marRight w:val="0"/>
      <w:marTop w:val="0"/>
      <w:marBottom w:val="0"/>
      <w:divBdr>
        <w:top w:val="none" w:sz="0" w:space="0" w:color="auto"/>
        <w:left w:val="none" w:sz="0" w:space="0" w:color="auto"/>
        <w:bottom w:val="none" w:sz="0" w:space="0" w:color="auto"/>
        <w:right w:val="none" w:sz="0" w:space="0" w:color="auto"/>
      </w:divBdr>
    </w:div>
    <w:div w:id="799227679">
      <w:bodyDiv w:val="1"/>
      <w:marLeft w:val="0"/>
      <w:marRight w:val="0"/>
      <w:marTop w:val="0"/>
      <w:marBottom w:val="0"/>
      <w:divBdr>
        <w:top w:val="none" w:sz="0" w:space="0" w:color="auto"/>
        <w:left w:val="none" w:sz="0" w:space="0" w:color="auto"/>
        <w:bottom w:val="none" w:sz="0" w:space="0" w:color="auto"/>
        <w:right w:val="none" w:sz="0" w:space="0" w:color="auto"/>
      </w:divBdr>
    </w:div>
    <w:div w:id="1050375558">
      <w:bodyDiv w:val="1"/>
      <w:marLeft w:val="0"/>
      <w:marRight w:val="0"/>
      <w:marTop w:val="0"/>
      <w:marBottom w:val="0"/>
      <w:divBdr>
        <w:top w:val="none" w:sz="0" w:space="0" w:color="auto"/>
        <w:left w:val="none" w:sz="0" w:space="0" w:color="auto"/>
        <w:bottom w:val="none" w:sz="0" w:space="0" w:color="auto"/>
        <w:right w:val="none" w:sz="0" w:space="0" w:color="auto"/>
      </w:divBdr>
    </w:div>
    <w:div w:id="207520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692</Words>
  <Characters>3951</Characters>
  <Application>Microsoft Office Word</Application>
  <DocSecurity>0</DocSecurity>
  <Lines>32</Lines>
  <Paragraphs>9</Paragraphs>
  <ScaleCrop>false</ScaleCrop>
  <Company/>
  <LinksUpToDate>false</LinksUpToDate>
  <CharactersWithSpaces>4634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tanvi</dc:creator>
  <cp:lastModifiedBy>tanvi</cp:lastModifiedBy>
  <cp:revision>1</cp:revision>
  <dcterms:created xsi:type="dcterms:W3CDTF">2014-04-21T10:35:00Z</dcterms:created>
  <dcterms:modified xsi:type="dcterms:W3CDTF">2014-04-21T10:43:00Z</dcterms:modified>
</cp:coreProperties>
</file>